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6B5E" w14:textId="77777777" w:rsidR="00346D4F" w:rsidRDefault="00346D4F">
      <w:pPr>
        <w:spacing w:before="4" w:after="0" w:line="110" w:lineRule="exact"/>
        <w:rPr>
          <w:sz w:val="11"/>
          <w:szCs w:val="11"/>
        </w:rPr>
      </w:pPr>
    </w:p>
    <w:p w14:paraId="5529EBAF" w14:textId="77777777" w:rsidR="00346D4F" w:rsidRDefault="00346D4F">
      <w:pPr>
        <w:spacing w:after="0" w:line="200" w:lineRule="exact"/>
        <w:rPr>
          <w:sz w:val="20"/>
          <w:szCs w:val="20"/>
        </w:rPr>
      </w:pPr>
    </w:p>
    <w:p w14:paraId="4443800D" w14:textId="35F8DCCC" w:rsidR="00346D4F" w:rsidRDefault="00D63767">
      <w:pPr>
        <w:spacing w:before="18" w:after="0" w:line="243" w:lineRule="auto"/>
        <w:ind w:left="3129" w:right="56" w:firstLine="6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A98A24" wp14:editId="3C341AE7">
            <wp:simplePos x="0" y="0"/>
            <wp:positionH relativeFrom="page">
              <wp:posOffset>1267460</wp:posOffset>
            </wp:positionH>
            <wp:positionV relativeFrom="paragraph">
              <wp:posOffset>-129540</wp:posOffset>
            </wp:positionV>
            <wp:extent cx="1054100" cy="810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EE">
        <w:rPr>
          <w:rFonts w:ascii="Calibri" w:eastAsia="Calibri" w:hAnsi="Calibri" w:cs="Calibri"/>
          <w:b/>
          <w:bCs/>
          <w:sz w:val="24"/>
          <w:szCs w:val="24"/>
        </w:rPr>
        <w:t>Suncoast Mental Health Counselors Association (SMHCA) Procedure for Addressing Requests for Professional Partnership</w:t>
      </w:r>
    </w:p>
    <w:p w14:paraId="6C9446A4" w14:textId="77777777" w:rsidR="00346D4F" w:rsidRDefault="00346D4F">
      <w:pPr>
        <w:spacing w:after="0" w:line="200" w:lineRule="exact"/>
        <w:rPr>
          <w:sz w:val="20"/>
          <w:szCs w:val="20"/>
        </w:rPr>
      </w:pPr>
    </w:p>
    <w:p w14:paraId="0F66EC34" w14:textId="77777777" w:rsidR="00346D4F" w:rsidRDefault="00346D4F">
      <w:pPr>
        <w:spacing w:after="0" w:line="200" w:lineRule="exact"/>
        <w:rPr>
          <w:sz w:val="20"/>
          <w:szCs w:val="20"/>
        </w:rPr>
      </w:pPr>
    </w:p>
    <w:p w14:paraId="7A804CA5" w14:textId="77777777" w:rsidR="00346D4F" w:rsidRDefault="00346D4F">
      <w:pPr>
        <w:spacing w:before="12" w:after="0" w:line="280" w:lineRule="exact"/>
        <w:rPr>
          <w:sz w:val="28"/>
          <w:szCs w:val="28"/>
        </w:rPr>
      </w:pPr>
    </w:p>
    <w:p w14:paraId="27095A44" w14:textId="77777777" w:rsidR="00346D4F" w:rsidRDefault="00A207EE">
      <w:pPr>
        <w:spacing w:before="19" w:after="0" w:line="239" w:lineRule="auto"/>
        <w:ind w:left="100"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Professional partnerships are formal, reciprocal, collaborative, and complementary relationships formed between SMHCA and external groups or organizations.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Partnership implies an ongoing relationship between two organizations, although either organization may terminate a partnership at any time.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SMHCA adopts a conservative approach to forming professional partnerships, restricting partnerships to reputable and well-established not-for-</w:t>
      </w:r>
    </w:p>
    <w:p w14:paraId="2CD8B427" w14:textId="77777777" w:rsidR="00346D4F" w:rsidRDefault="00A207EE">
      <w:pPr>
        <w:spacing w:before="5" w:after="0" w:line="239" w:lineRule="auto"/>
        <w:ind w:left="100" w:right="9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profit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organizations that have been thoroughly vetted.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group, organization, or external entity need not seek formal partnerships from SMHCA in order to co-sponsor events, present at SMHCA training events, or offer information to SMHCA members.</w:t>
      </w:r>
    </w:p>
    <w:p w14:paraId="108400A8" w14:textId="77777777" w:rsidR="00346D4F" w:rsidRDefault="00346D4F">
      <w:pPr>
        <w:spacing w:before="11" w:after="0" w:line="280" w:lineRule="exact"/>
        <w:rPr>
          <w:sz w:val="28"/>
          <w:szCs w:val="28"/>
        </w:rPr>
      </w:pPr>
    </w:p>
    <w:p w14:paraId="3319E142" w14:textId="77777777" w:rsidR="00346D4F" w:rsidRDefault="00A207EE">
      <w:pPr>
        <w:spacing w:after="0" w:line="288" w:lineRule="exact"/>
        <w:ind w:left="100" w:right="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order to be considered for partnership with SMHCA, an organization must meet the following requirements:</w:t>
      </w:r>
    </w:p>
    <w:p w14:paraId="02E36B9C" w14:textId="77777777" w:rsidR="00346D4F" w:rsidRDefault="00A207EE" w:rsidP="00A207EE">
      <w:pPr>
        <w:spacing w:before="9" w:after="0" w:line="288" w:lineRule="exact"/>
        <w:ind w:left="820" w:right="493" w:hanging="3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(1)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organization maintains not-for-profit IRS tax code designation; (</w:t>
      </w:r>
      <w:r>
        <w:rPr>
          <w:rFonts w:ascii="Calibri" w:eastAsia="Calibri" w:hAnsi="Calibri" w:cs="Calibri"/>
          <w:color w:val="0563C1"/>
          <w:sz w:val="24"/>
          <w:szCs w:val="24"/>
          <w:u w:val="single" w:color="0563C1"/>
        </w:rPr>
        <w:t>https://</w:t>
      </w:r>
      <w:hyperlink r:id="rId6">
        <w:r>
          <w:rPr>
            <w:rFonts w:ascii="Calibri" w:eastAsia="Calibri" w:hAnsi="Calibri" w:cs="Calibri"/>
            <w:color w:val="0563C1"/>
            <w:sz w:val="24"/>
            <w:szCs w:val="24"/>
            <w:u w:val="single" w:color="0563C1"/>
          </w:rPr>
          <w:t>www.irs.gov/Charities-&amp;-Non-Profits/Types-of-Tax-Exempt-Organizations-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);</w:t>
        </w:r>
      </w:hyperlink>
    </w:p>
    <w:p w14:paraId="0AA69C57" w14:textId="77777777" w:rsidR="008672B6" w:rsidRDefault="008672B6" w:rsidP="00A207EE">
      <w:pPr>
        <w:spacing w:before="9" w:after="0" w:line="288" w:lineRule="exact"/>
        <w:ind w:left="820" w:right="493" w:hanging="370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9A3EFD9" w14:textId="77777777" w:rsidR="00A207EE" w:rsidRPr="00A207EE" w:rsidRDefault="00A207EE" w:rsidP="00A207EE">
      <w:pPr>
        <w:spacing w:before="9" w:after="0" w:line="288" w:lineRule="exact"/>
        <w:ind w:left="820" w:right="493" w:hanging="370"/>
        <w:rPr>
          <w:rFonts w:ascii="Calibri" w:eastAsia="Calibri" w:hAnsi="Calibri" w:cs="Calibri"/>
          <w:i/>
          <w:color w:val="FF0000"/>
          <w:sz w:val="24"/>
          <w:szCs w:val="24"/>
        </w:rPr>
      </w:pPr>
      <w:r w:rsidRPr="00A207EE">
        <w:rPr>
          <w:rFonts w:ascii="Calibri" w:eastAsia="Calibri" w:hAnsi="Calibri" w:cs="Calibri"/>
          <w:i/>
          <w:color w:val="FF0000"/>
          <w:sz w:val="24"/>
          <w:szCs w:val="24"/>
        </w:rPr>
        <w:t>Verified, see attachment</w:t>
      </w:r>
    </w:p>
    <w:p w14:paraId="34C868C8" w14:textId="77777777" w:rsidR="008672B6" w:rsidRDefault="008672B6">
      <w:pPr>
        <w:spacing w:before="13" w:after="0" w:line="238" w:lineRule="auto"/>
        <w:ind w:left="820" w:right="85" w:hanging="360"/>
        <w:rPr>
          <w:rFonts w:ascii="Calibri" w:eastAsia="Calibri" w:hAnsi="Calibri" w:cs="Calibri"/>
          <w:sz w:val="24"/>
          <w:szCs w:val="24"/>
        </w:rPr>
      </w:pPr>
    </w:p>
    <w:p w14:paraId="5135502B" w14:textId="77777777" w:rsidR="00346D4F" w:rsidRDefault="00A207EE">
      <w:pPr>
        <w:spacing w:before="13" w:after="0" w:line="238" w:lineRule="auto"/>
        <w:ind w:left="820" w:right="85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mission, purpose, and values of the organization are compatible with and complimentary to SMHCA’s purpose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statement ( </w:t>
      </w:r>
      <w:proofErr w:type="gramEnd"/>
      <w:r>
        <w:fldChar w:fldCharType="begin"/>
      </w:r>
      <w:r>
        <w:instrText xml:space="preserve"> HYPERLINK "http://suncoastmhca.org/Purpose)" \h </w:instrText>
      </w:r>
      <w:r>
        <w:fldChar w:fldCharType="separate"/>
      </w:r>
      <w:r>
        <w:rPr>
          <w:rFonts w:ascii="Calibri" w:eastAsia="Calibri" w:hAnsi="Calibri" w:cs="Calibri"/>
          <w:color w:val="0563C1"/>
          <w:sz w:val="24"/>
          <w:szCs w:val="24"/>
          <w:u w:val="single" w:color="0563C1"/>
        </w:rPr>
        <w:t>http://suncoastmhca.org/Purpose)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563C1"/>
          <w:sz w:val="24"/>
          <w:szCs w:val="24"/>
        </w:rPr>
        <w:fldChar w:fldCharType="end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 the American Mental Health Counselors Association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Code of Ethics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hyperlink r:id="rId7">
        <w:r>
          <w:rPr>
            <w:rFonts w:ascii="Calibri" w:eastAsia="Calibri" w:hAnsi="Calibri" w:cs="Calibri"/>
            <w:color w:val="0563C1"/>
            <w:sz w:val="24"/>
            <w:szCs w:val="24"/>
            <w:u w:val="single" w:color="0563C1"/>
          </w:rPr>
          <w:t>http://www.amhca.org/?page=codeofethics)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;</w:t>
        </w:r>
      </w:hyperlink>
    </w:p>
    <w:p w14:paraId="07689CD2" w14:textId="77777777" w:rsidR="008672B6" w:rsidRDefault="008672B6" w:rsidP="00A207EE">
      <w:pPr>
        <w:widowControl/>
        <w:shd w:val="clear" w:color="auto" w:fill="FFFFFF"/>
        <w:spacing w:after="300" w:line="405" w:lineRule="atLeast"/>
        <w:ind w:left="460"/>
        <w:textAlignment w:val="baseline"/>
        <w:rPr>
          <w:rFonts w:ascii="Helvetica" w:hAnsi="Helvetica" w:cs="Times New Roman"/>
          <w:i/>
          <w:color w:val="FF0000"/>
          <w:sz w:val="23"/>
          <w:szCs w:val="23"/>
        </w:rPr>
      </w:pPr>
    </w:p>
    <w:p w14:paraId="05516787" w14:textId="77777777" w:rsidR="00A207EE" w:rsidRDefault="00A207EE" w:rsidP="00A207EE">
      <w:pPr>
        <w:widowControl/>
        <w:shd w:val="clear" w:color="auto" w:fill="FFFFFF"/>
        <w:spacing w:after="300" w:line="405" w:lineRule="atLeast"/>
        <w:ind w:left="460"/>
        <w:textAlignment w:val="baseline"/>
        <w:rPr>
          <w:rFonts w:ascii="Helvetica" w:hAnsi="Helvetica" w:cs="Times New Roman"/>
          <w:i/>
          <w:color w:val="FF0000"/>
          <w:sz w:val="23"/>
          <w:szCs w:val="23"/>
        </w:rPr>
      </w:pPr>
      <w:bookmarkStart w:id="0" w:name="_GoBack"/>
      <w:bookmarkEnd w:id="0"/>
      <w:r w:rsidRPr="00A207EE">
        <w:rPr>
          <w:rFonts w:ascii="Helvetica" w:hAnsi="Helvetica" w:cs="Times New Roman"/>
          <w:i/>
          <w:color w:val="FF0000"/>
          <w:sz w:val="23"/>
          <w:szCs w:val="23"/>
        </w:rPr>
        <w:t>“Veterans Counseling Veterans Incorporated” is a 50</w:t>
      </w:r>
      <w:r>
        <w:rPr>
          <w:rFonts w:ascii="Helvetica" w:hAnsi="Helvetica" w:cs="Times New Roman"/>
          <w:i/>
          <w:color w:val="FF0000"/>
          <w:sz w:val="23"/>
          <w:szCs w:val="23"/>
        </w:rPr>
        <w:t xml:space="preserve">1 C (3) tax exempted </w:t>
      </w:r>
      <w:proofErr w:type="spellStart"/>
      <w:r>
        <w:rPr>
          <w:rFonts w:ascii="Helvetica" w:hAnsi="Helvetica" w:cs="Times New Roman"/>
          <w:i/>
          <w:color w:val="FF0000"/>
          <w:sz w:val="23"/>
          <w:szCs w:val="23"/>
        </w:rPr>
        <w:t>Charitable</w:t>
      </w:r>
      <w:r w:rsidRPr="00A207EE">
        <w:rPr>
          <w:rFonts w:ascii="Helvetica" w:hAnsi="Helvetica" w:cs="Times New Roman"/>
          <w:i/>
          <w:color w:val="FF0000"/>
          <w:sz w:val="23"/>
          <w:szCs w:val="23"/>
        </w:rPr>
        <w:t>Organization</w:t>
      </w:r>
      <w:proofErr w:type="spellEnd"/>
      <w:r w:rsidRPr="00A207EE">
        <w:rPr>
          <w:rFonts w:ascii="Helvetica" w:hAnsi="Helvetica" w:cs="Times New Roman"/>
          <w:i/>
          <w:color w:val="FF0000"/>
          <w:sz w:val="23"/>
          <w:szCs w:val="23"/>
        </w:rPr>
        <w:t xml:space="preserve"> lead primarily by military veterans and spouses of Veterans that provides direct and referred counseling services; veteran’s professional association of </w:t>
      </w:r>
      <w:proofErr w:type="gramStart"/>
      <w:r w:rsidRPr="00A207EE">
        <w:rPr>
          <w:rFonts w:ascii="Helvetica" w:hAnsi="Helvetica" w:cs="Times New Roman"/>
          <w:i/>
          <w:color w:val="FF0000"/>
          <w:sz w:val="23"/>
          <w:szCs w:val="23"/>
        </w:rPr>
        <w:t>military</w:t>
      </w:r>
      <w:proofErr w:type="gramEnd"/>
      <w:r w:rsidRPr="00A207EE">
        <w:rPr>
          <w:rFonts w:ascii="Helvetica" w:hAnsi="Helvetica" w:cs="Times New Roman"/>
          <w:i/>
          <w:color w:val="FF0000"/>
          <w:sz w:val="23"/>
          <w:szCs w:val="23"/>
        </w:rPr>
        <w:t xml:space="preserve"> veterans and spouses of military veterans in the behavioral health profession.</w:t>
      </w:r>
    </w:p>
    <w:p w14:paraId="75385125" w14:textId="77777777" w:rsidR="00D63767" w:rsidRDefault="00A207EE" w:rsidP="00A207EE">
      <w:pPr>
        <w:widowControl/>
        <w:shd w:val="clear" w:color="auto" w:fill="FFFFFF"/>
        <w:spacing w:after="300" w:line="405" w:lineRule="atLeast"/>
        <w:ind w:left="720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(3)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organization is </w:t>
      </w:r>
      <w:r w:rsidR="00D63767">
        <w:rPr>
          <w:rFonts w:ascii="Calibri" w:eastAsia="Calibri" w:hAnsi="Calibri" w:cs="Calibri"/>
          <w:sz w:val="24"/>
          <w:szCs w:val="24"/>
        </w:rPr>
        <w:t>a:</w:t>
      </w:r>
    </w:p>
    <w:p w14:paraId="1EFD5AB8" w14:textId="67874BB4" w:rsidR="00346D4F" w:rsidRDefault="00D63767" w:rsidP="00D63767">
      <w:pPr>
        <w:widowControl/>
        <w:shd w:val="clear" w:color="auto" w:fill="FFFFFF"/>
        <w:spacing w:after="300" w:line="405" w:lineRule="atLeast"/>
        <w:ind w:left="720" w:firstLine="720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 W</w:t>
      </w:r>
      <w:r w:rsidR="00A207EE">
        <w:rPr>
          <w:rFonts w:ascii="Calibri" w:eastAsia="Calibri" w:hAnsi="Calibri" w:cs="Calibri"/>
          <w:sz w:val="24"/>
          <w:szCs w:val="24"/>
        </w:rPr>
        <w:t>ell-established, recognized in the field of mental health     counseling, and of good repute</w:t>
      </w:r>
    </w:p>
    <w:p w14:paraId="788E12EA" w14:textId="4C703944" w:rsidR="00A207EE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(1) </w:t>
      </w:r>
      <w:r w:rsidR="00F1057D">
        <w:rPr>
          <w:rFonts w:ascii="Calibri" w:eastAsia="Calibri" w:hAnsi="Calibri" w:cs="Calibri"/>
          <w:i/>
          <w:color w:val="FF0000"/>
          <w:sz w:val="24"/>
          <w:szCs w:val="24"/>
        </w:rPr>
        <w:t xml:space="preserve">VCV is a member of South Tampa Chamber of Commerce, Hillsborough’s Veterans Council, American Legion District 15/Post 5, </w:t>
      </w:r>
    </w:p>
    <w:p w14:paraId="6FB45607" w14:textId="0851CFBB" w:rsidR="00F1057D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(2) </w:t>
      </w:r>
      <w:r w:rsidR="00F1057D">
        <w:rPr>
          <w:rFonts w:ascii="Calibri" w:eastAsia="Calibri" w:hAnsi="Calibri" w:cs="Calibri"/>
          <w:i/>
          <w:color w:val="FF0000"/>
          <w:sz w:val="24"/>
          <w:szCs w:val="24"/>
        </w:rPr>
        <w:t>VCV was approved by Troy University and Argosy as an Internship site for Graduate Students in Graduate Mental Health Programs</w:t>
      </w:r>
    </w:p>
    <w:p w14:paraId="03530ED3" w14:textId="459AED3C" w:rsidR="00F1057D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(3) </w:t>
      </w:r>
      <w:r w:rsidR="00F1057D">
        <w:rPr>
          <w:rFonts w:ascii="Calibri" w:eastAsia="Calibri" w:hAnsi="Calibri" w:cs="Calibri"/>
          <w:i/>
          <w:color w:val="FF0000"/>
          <w:sz w:val="24"/>
          <w:szCs w:val="24"/>
        </w:rPr>
        <w:t>VCV Board membership includes LMHCs, Qualified supervisor and PhDs</w:t>
      </w:r>
    </w:p>
    <w:p w14:paraId="2EB516EE" w14:textId="638BE864" w:rsidR="00F1057D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lastRenderedPageBreak/>
        <w:t xml:space="preserve">(4) </w:t>
      </w:r>
      <w:r w:rsidR="00F1057D">
        <w:rPr>
          <w:rFonts w:ascii="Calibri" w:eastAsia="Calibri" w:hAnsi="Calibri" w:cs="Calibri"/>
          <w:i/>
          <w:color w:val="FF0000"/>
          <w:sz w:val="24"/>
          <w:szCs w:val="24"/>
        </w:rPr>
        <w:t>Recently VCV supported Florida Mental Health Counselor Association by providing 75 % of the military related panelists for FMHCA’s Military Panel at their Conference</w:t>
      </w:r>
    </w:p>
    <w:p w14:paraId="647E0F42" w14:textId="095F3D1E" w:rsidR="00F1057D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(5) </w:t>
      </w:r>
      <w:r w:rsidR="00F1057D">
        <w:rPr>
          <w:rFonts w:ascii="Calibri" w:eastAsia="Calibri" w:hAnsi="Calibri" w:cs="Calibri"/>
          <w:i/>
          <w:color w:val="FF0000"/>
          <w:sz w:val="24"/>
          <w:szCs w:val="24"/>
        </w:rPr>
        <w:t>VCV has partnered with American Legion Post 5 and North Tampa Behavioral Health</w:t>
      </w:r>
    </w:p>
    <w:p w14:paraId="531C3D67" w14:textId="2B76D07B" w:rsidR="00F1057D" w:rsidRPr="00A207EE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(6) </w:t>
      </w:r>
      <w:r w:rsidR="00F1057D">
        <w:rPr>
          <w:rFonts w:ascii="Calibri" w:eastAsia="Calibri" w:hAnsi="Calibri" w:cs="Calibri"/>
          <w:i/>
          <w:color w:val="FF0000"/>
          <w:sz w:val="24"/>
          <w:szCs w:val="24"/>
        </w:rPr>
        <w:t>VCV currently provides mental health counseling support to the 13</w:t>
      </w:r>
      <w:r w:rsidR="00F1057D" w:rsidRPr="00F1057D">
        <w:rPr>
          <w:rFonts w:ascii="Calibri" w:eastAsia="Calibri" w:hAnsi="Calibri" w:cs="Calibri"/>
          <w:i/>
          <w:color w:val="FF0000"/>
          <w:sz w:val="24"/>
          <w:szCs w:val="24"/>
          <w:vertAlign w:val="superscript"/>
        </w:rPr>
        <w:t>th</w:t>
      </w:r>
      <w:r w:rsidR="00F1057D">
        <w:rPr>
          <w:rFonts w:ascii="Calibri" w:eastAsia="Calibri" w:hAnsi="Calibri" w:cs="Calibri"/>
          <w:i/>
          <w:color w:val="FF0000"/>
          <w:sz w:val="24"/>
          <w:szCs w:val="24"/>
        </w:rPr>
        <w:t xml:space="preserve"> Circuit Court’s Veterans Treatment Court</w:t>
      </w:r>
    </w:p>
    <w:p w14:paraId="70ECB782" w14:textId="0828CE30" w:rsidR="00F1057D" w:rsidRPr="00D63767" w:rsidRDefault="00D63767" w:rsidP="00D63767">
      <w:pPr>
        <w:widowControl/>
        <w:shd w:val="clear" w:color="auto" w:fill="FFFFFF"/>
        <w:spacing w:after="300" w:line="405" w:lineRule="atLeast"/>
        <w:ind w:left="720" w:firstLine="720"/>
        <w:textAlignment w:val="baseline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b. 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>VCV in will support SMHCAs by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>:</w:t>
      </w:r>
    </w:p>
    <w:p w14:paraId="7D78A58C" w14:textId="5F70EA3C" w:rsidR="00A207EE" w:rsidRPr="00D63767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(1)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 Assisting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 SMHCA’s membership goal by publicizing and encouraging its members to join SMHCA</w:t>
      </w:r>
    </w:p>
    <w:p w14:paraId="08831ECA" w14:textId="142B7805" w:rsidR="00D63767" w:rsidRPr="00D63767" w:rsidRDefault="00D63767" w:rsidP="00D63767">
      <w:pPr>
        <w:widowControl/>
        <w:shd w:val="clear" w:color="auto" w:fill="FFFFFF"/>
        <w:spacing w:after="300" w:line="405" w:lineRule="atLeast"/>
        <w:ind w:left="1440" w:firstLine="720"/>
        <w:textAlignment w:val="baseline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>2</w:t>
      </w:r>
      <w:r>
        <w:rPr>
          <w:rFonts w:ascii="Calibri" w:eastAsia="Calibri" w:hAnsi="Calibri" w:cs="Calibri"/>
          <w:color w:val="FF0000"/>
          <w:sz w:val="24"/>
          <w:szCs w:val="24"/>
        </w:rPr>
        <w:t>)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 Provide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 SMHCA with 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>Subject Matter Experts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 (SME)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 in 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>Military C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ulture </w:t>
      </w:r>
    </w:p>
    <w:p w14:paraId="40603305" w14:textId="1954AA7C" w:rsidR="00F1057D" w:rsidRPr="00D63767" w:rsidRDefault="00D63767" w:rsidP="00D63767">
      <w:pPr>
        <w:widowControl/>
        <w:shd w:val="clear" w:color="auto" w:fill="FFFFFF"/>
        <w:spacing w:before="240" w:after="300" w:line="405" w:lineRule="atLeast"/>
        <w:ind w:left="1440" w:firstLine="720"/>
        <w:textAlignment w:val="baseline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>3</w:t>
      </w:r>
      <w:r>
        <w:rPr>
          <w:rFonts w:ascii="Calibri" w:eastAsia="Calibri" w:hAnsi="Calibri" w:cs="Calibri"/>
          <w:color w:val="FF0000"/>
          <w:sz w:val="24"/>
          <w:szCs w:val="24"/>
        </w:rPr>
        <w:t>)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F1057D" w:rsidRPr="00D63767">
        <w:rPr>
          <w:rFonts w:ascii="Calibri" w:eastAsia="Calibri" w:hAnsi="Calibri" w:cs="Calibri"/>
          <w:color w:val="FF0000"/>
          <w:sz w:val="24"/>
          <w:szCs w:val="24"/>
        </w:rPr>
        <w:t xml:space="preserve">Display SMHCA brochures at </w:t>
      </w:r>
      <w:r w:rsidRPr="00D63767">
        <w:rPr>
          <w:rFonts w:ascii="Calibri" w:eastAsia="Calibri" w:hAnsi="Calibri" w:cs="Calibri"/>
          <w:color w:val="FF0000"/>
          <w:sz w:val="24"/>
          <w:szCs w:val="24"/>
        </w:rPr>
        <w:t>VCV events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and socials </w:t>
      </w:r>
    </w:p>
    <w:p w14:paraId="1873E685" w14:textId="77777777" w:rsidR="00346D4F" w:rsidRDefault="00A207E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(4)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relationship benefits SMHCA’s membership.</w:t>
      </w:r>
    </w:p>
    <w:p w14:paraId="5298CB54" w14:textId="77777777" w:rsidR="003C0B5E" w:rsidRDefault="003C0B5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4ABD2D1B" w14:textId="2454D123" w:rsidR="003C0B5E" w:rsidRPr="003C0B5E" w:rsidRDefault="003C0B5E">
      <w:pPr>
        <w:spacing w:before="11" w:after="0" w:line="240" w:lineRule="auto"/>
        <w:ind w:left="460" w:right="-2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In speaking with CEO and Registered Intern Tony Williams, he assured me that everywhere and everyone he coordinates with </w:t>
      </w:r>
      <w:proofErr w:type="gramStart"/>
      <w:r>
        <w:rPr>
          <w:rFonts w:ascii="Calibri" w:eastAsia="Calibri" w:hAnsi="Calibri" w:cs="Calibri"/>
          <w:color w:val="FF0000"/>
          <w:sz w:val="24"/>
          <w:szCs w:val="24"/>
        </w:rPr>
        <w:t>will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know about SMHCA.  He will take our brochures to all his meetings and distribute as deemed necessary.  </w:t>
      </w:r>
    </w:p>
    <w:p w14:paraId="315F3D21" w14:textId="77777777" w:rsidR="00346D4F" w:rsidRDefault="00346D4F">
      <w:pPr>
        <w:spacing w:before="11" w:after="0" w:line="280" w:lineRule="exact"/>
        <w:rPr>
          <w:sz w:val="28"/>
          <w:szCs w:val="28"/>
        </w:rPr>
      </w:pPr>
    </w:p>
    <w:p w14:paraId="2DB8F966" w14:textId="77777777" w:rsidR="00346D4F" w:rsidRDefault="00A207EE">
      <w:pPr>
        <w:spacing w:after="0" w:line="288" w:lineRule="exact"/>
        <w:ind w:left="460" w:right="6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following procedure is applied when organizations wish to pursue partnership with SMHCA: (1)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organization is referred to SMHCA’s Public Relations Committee (PRC).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PRC</w:t>
      </w:r>
    </w:p>
    <w:p w14:paraId="2C4492CD" w14:textId="77777777" w:rsidR="00346D4F" w:rsidRDefault="00A207EE">
      <w:pPr>
        <w:spacing w:before="9" w:after="0" w:line="288" w:lineRule="exact"/>
        <w:ind w:left="820" w:right="76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acts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 a liaison to the interested organization and provides the organization with information on SMHCA.</w:t>
      </w:r>
    </w:p>
    <w:p w14:paraId="5DC086A8" w14:textId="77777777" w:rsidR="00346D4F" w:rsidRDefault="00A207E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organization provides the PRC with the following items:</w:t>
      </w:r>
    </w:p>
    <w:p w14:paraId="3DFAC01C" w14:textId="77777777" w:rsidR="00346D4F" w:rsidRDefault="00A207EE">
      <w:pPr>
        <w:spacing w:after="0" w:line="288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Verification of IRS not-for-profit tax designation;</w:t>
      </w:r>
    </w:p>
    <w:p w14:paraId="57A8CD49" w14:textId="77777777" w:rsidR="00346D4F" w:rsidRDefault="00A207EE">
      <w:pPr>
        <w:spacing w:before="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summary or outline of the organization’s history;</w:t>
      </w:r>
    </w:p>
    <w:p w14:paraId="01D83E91" w14:textId="77777777" w:rsidR="00346D4F" w:rsidRDefault="00A207EE">
      <w:pPr>
        <w:spacing w:before="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summary or outline entailing what the organization would like from SMHCA</w:t>
      </w:r>
    </w:p>
    <w:p w14:paraId="5FE4FA5E" w14:textId="77777777" w:rsidR="00346D4F" w:rsidRDefault="00A207EE">
      <w:pPr>
        <w:spacing w:after="0" w:line="288" w:lineRule="exact"/>
        <w:ind w:left="1502" w:right="23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and what the organization is prepared to provide SMHCA;</w:t>
      </w:r>
    </w:p>
    <w:p w14:paraId="6E65E31B" w14:textId="77777777" w:rsidR="00346D4F" w:rsidRDefault="00A207EE">
      <w:pPr>
        <w:spacing w:before="2" w:after="0" w:line="288" w:lineRule="exact"/>
        <w:ind w:left="1540" w:right="77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copy or summary of the organization's mission/purpose statements and values.</w:t>
      </w:r>
    </w:p>
    <w:p w14:paraId="55C6766C" w14:textId="77777777" w:rsidR="00346D4F" w:rsidRDefault="00A207EE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(3)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PRC conducts research into the background and history of the organization.</w:t>
      </w:r>
    </w:p>
    <w:p w14:paraId="5CA31342" w14:textId="77777777" w:rsidR="00AA22E1" w:rsidRDefault="00AA22E1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</w:p>
    <w:p w14:paraId="7726C435" w14:textId="5557DDD3" w:rsidR="00AA22E1" w:rsidRDefault="00AA22E1">
      <w:pPr>
        <w:spacing w:before="11" w:after="0" w:line="240" w:lineRule="auto"/>
        <w:ind w:left="460" w:right="-2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CEO, Tony Williams received the AMHCA Volunteer Award in 2014 for all his hard work with Veterans.  </w:t>
      </w:r>
    </w:p>
    <w:p w14:paraId="64DEE083" w14:textId="77777777" w:rsidR="00AA22E1" w:rsidRPr="00AA22E1" w:rsidRDefault="00AA22E1">
      <w:pPr>
        <w:spacing w:before="11" w:after="0" w:line="240" w:lineRule="auto"/>
        <w:ind w:left="460" w:right="-20"/>
        <w:rPr>
          <w:rFonts w:ascii="Calibri" w:eastAsia="Calibri" w:hAnsi="Calibri" w:cs="Calibri"/>
          <w:color w:val="FF0000"/>
          <w:sz w:val="24"/>
          <w:szCs w:val="24"/>
        </w:rPr>
      </w:pPr>
    </w:p>
    <w:p w14:paraId="39B9F190" w14:textId="77777777" w:rsidR="00346D4F" w:rsidRDefault="00A207EE">
      <w:pPr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(4)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 PRC creates a report outlining the above information, identifying possible benefits</w:t>
      </w:r>
    </w:p>
    <w:p w14:paraId="2D750378" w14:textId="77777777" w:rsidR="00346D4F" w:rsidRDefault="00A207EE">
      <w:pPr>
        <w:spacing w:before="4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drawbacks to the proposed partnership, and offering a recommendation to the</w:t>
      </w:r>
    </w:p>
    <w:p w14:paraId="7D12EA7B" w14:textId="77777777" w:rsidR="00346D4F" w:rsidRDefault="00A207EE">
      <w:pPr>
        <w:spacing w:after="0" w:line="288" w:lineRule="exact"/>
        <w:ind w:left="820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Board of whether or not to partner with the organization.</w:t>
      </w:r>
    </w:p>
    <w:p w14:paraId="26E5D87F" w14:textId="77777777" w:rsidR="00AA22E1" w:rsidRDefault="00AA22E1">
      <w:pPr>
        <w:spacing w:after="0" w:line="288" w:lineRule="exact"/>
        <w:ind w:left="820" w:right="-20"/>
        <w:rPr>
          <w:rFonts w:ascii="Calibri" w:eastAsia="Calibri" w:hAnsi="Calibri" w:cs="Calibri"/>
          <w:position w:val="1"/>
          <w:sz w:val="24"/>
          <w:szCs w:val="24"/>
        </w:rPr>
      </w:pPr>
    </w:p>
    <w:p w14:paraId="5AAF48BE" w14:textId="6F32A14F" w:rsidR="00AA22E1" w:rsidRDefault="00AA22E1">
      <w:pPr>
        <w:spacing w:after="0" w:line="288" w:lineRule="exact"/>
        <w:ind w:left="820" w:right="-20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  <w:r>
        <w:rPr>
          <w:rFonts w:ascii="Calibri" w:eastAsia="Calibri" w:hAnsi="Calibri" w:cs="Calibri"/>
          <w:color w:val="FF0000"/>
          <w:position w:val="1"/>
          <w:sz w:val="24"/>
          <w:szCs w:val="24"/>
        </w:rPr>
        <w:t xml:space="preserve">No drawbacks could be identified in partnering with Veterans Counseling Veterans.  </w:t>
      </w:r>
    </w:p>
    <w:p w14:paraId="11867B3E" w14:textId="77777777" w:rsidR="00AA22E1" w:rsidRDefault="00AA22E1">
      <w:pPr>
        <w:spacing w:after="0" w:line="288" w:lineRule="exact"/>
        <w:ind w:left="820" w:right="-20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</w:p>
    <w:p w14:paraId="04633EDA" w14:textId="0DBFB5C1" w:rsidR="00AA22E1" w:rsidRDefault="00AA22E1">
      <w:pPr>
        <w:spacing w:after="0" w:line="288" w:lineRule="exact"/>
        <w:ind w:left="820" w:right="-20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  <w:r>
        <w:rPr>
          <w:rFonts w:ascii="Calibri" w:eastAsia="Calibri" w:hAnsi="Calibri" w:cs="Calibri"/>
          <w:color w:val="FF0000"/>
          <w:position w:val="1"/>
          <w:sz w:val="24"/>
          <w:szCs w:val="24"/>
        </w:rPr>
        <w:t>The main benefit for SMHCA is the tireless “outreach” Tony does within the community; for example, Crisis Hotline, Suicide Prevention, Veterans Court, Veterans Administration, American Legion…..if it’s a military related event, Tony is there!</w:t>
      </w:r>
    </w:p>
    <w:p w14:paraId="132501B8" w14:textId="77777777" w:rsidR="00AA22E1" w:rsidRPr="00AA22E1" w:rsidRDefault="00AA22E1">
      <w:pPr>
        <w:spacing w:after="0" w:line="288" w:lineRule="exact"/>
        <w:ind w:left="820" w:right="-20"/>
        <w:rPr>
          <w:rFonts w:ascii="Calibri" w:eastAsia="Calibri" w:hAnsi="Calibri" w:cs="Calibri"/>
          <w:color w:val="FF0000"/>
          <w:sz w:val="24"/>
          <w:szCs w:val="24"/>
        </w:rPr>
      </w:pPr>
    </w:p>
    <w:p w14:paraId="59BA735B" w14:textId="77777777" w:rsidR="00346D4F" w:rsidRDefault="00A207EE">
      <w:pPr>
        <w:spacing w:before="4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(5)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PRC sends the report to SMHCA’s Board of Directors.</w:t>
      </w:r>
    </w:p>
    <w:p w14:paraId="60E861DE" w14:textId="77777777" w:rsidR="00346D4F" w:rsidRDefault="00A207EE">
      <w:pPr>
        <w:spacing w:after="0" w:line="288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(6)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 Board reviews the information, requests meetings with the organization if</w:t>
      </w:r>
    </w:p>
    <w:p w14:paraId="4DFF6C7F" w14:textId="77777777" w:rsidR="00346D4F" w:rsidRDefault="00A207EE">
      <w:pPr>
        <w:spacing w:before="4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warranted</w:t>
      </w:r>
      <w:proofErr w:type="gramEnd"/>
      <w:r>
        <w:rPr>
          <w:rFonts w:ascii="Calibri" w:eastAsia="Calibri" w:hAnsi="Calibri" w:cs="Calibri"/>
          <w:sz w:val="24"/>
          <w:szCs w:val="24"/>
        </w:rPr>
        <w:t>, and votes on the partnership agreement.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 note that it may take the</w:t>
      </w:r>
    </w:p>
    <w:p w14:paraId="5AF21EB9" w14:textId="77777777" w:rsidR="00346D4F" w:rsidRDefault="00A207EE">
      <w:pPr>
        <w:spacing w:after="0" w:line="288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Board 30 to 90 days to reach a decision.</w:t>
      </w:r>
    </w:p>
    <w:p w14:paraId="15919034" w14:textId="77777777" w:rsidR="00346D4F" w:rsidRDefault="00A207EE">
      <w:pPr>
        <w:spacing w:before="4" w:after="0" w:line="281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(7)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agreement is typed and signed by representatives of both organizations.</w:t>
      </w:r>
    </w:p>
    <w:p w14:paraId="0C55CB13" w14:textId="77777777" w:rsidR="00346D4F" w:rsidRDefault="00346D4F">
      <w:pPr>
        <w:spacing w:after="0" w:line="200" w:lineRule="exact"/>
        <w:rPr>
          <w:sz w:val="20"/>
          <w:szCs w:val="20"/>
        </w:rPr>
      </w:pPr>
    </w:p>
    <w:p w14:paraId="525C4383" w14:textId="77777777" w:rsidR="00346D4F" w:rsidRDefault="00346D4F">
      <w:pPr>
        <w:spacing w:after="0" w:line="200" w:lineRule="exact"/>
        <w:rPr>
          <w:sz w:val="20"/>
          <w:szCs w:val="20"/>
        </w:rPr>
      </w:pPr>
    </w:p>
    <w:p w14:paraId="3896C77D" w14:textId="77777777" w:rsidR="00346D4F" w:rsidRDefault="00346D4F">
      <w:pPr>
        <w:spacing w:after="0" w:line="200" w:lineRule="exact"/>
        <w:rPr>
          <w:sz w:val="20"/>
          <w:szCs w:val="20"/>
        </w:rPr>
      </w:pPr>
    </w:p>
    <w:p w14:paraId="0B6FEA85" w14:textId="77777777" w:rsidR="00346D4F" w:rsidRDefault="00346D4F">
      <w:pPr>
        <w:spacing w:before="12" w:after="0" w:line="220" w:lineRule="exact"/>
      </w:pPr>
    </w:p>
    <w:p w14:paraId="5F849734" w14:textId="77777777" w:rsidR="00346D4F" w:rsidRDefault="00A207EE">
      <w:pPr>
        <w:tabs>
          <w:tab w:val="left" w:pos="8120"/>
        </w:tabs>
        <w:spacing w:before="29" w:after="0" w:line="240" w:lineRule="auto"/>
        <w:ind w:left="1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spacing w:val="4"/>
          <w:sz w:val="19"/>
          <w:szCs w:val="19"/>
        </w:rPr>
        <w:t>dop</w:t>
      </w:r>
      <w:r>
        <w:rPr>
          <w:rFonts w:ascii="Calibri" w:eastAsia="Calibri" w:hAnsi="Calibri" w:cs="Calibri"/>
          <w:spacing w:val="3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>M</w:t>
      </w:r>
      <w:r>
        <w:rPr>
          <w:rFonts w:ascii="Calibri" w:eastAsia="Calibri" w:hAnsi="Calibri" w:cs="Calibri"/>
          <w:spacing w:val="5"/>
          <w:sz w:val="19"/>
          <w:szCs w:val="19"/>
        </w:rPr>
        <w:t>H</w:t>
      </w:r>
      <w:r>
        <w:rPr>
          <w:rFonts w:ascii="Calibri" w:eastAsia="Calibri" w:hAnsi="Calibri" w:cs="Calibri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Boa</w:t>
      </w:r>
      <w:r>
        <w:rPr>
          <w:rFonts w:ascii="Calibri" w:eastAsia="Calibri" w:hAnsi="Calibri" w:cs="Calibri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1</w:t>
      </w:r>
      <w:r>
        <w:rPr>
          <w:rFonts w:ascii="Calibri" w:eastAsia="Calibri" w:hAnsi="Calibri" w:cs="Calibri"/>
          <w:spacing w:val="3"/>
          <w:sz w:val="19"/>
          <w:szCs w:val="19"/>
        </w:rPr>
        <w:t>/</w:t>
      </w:r>
      <w:r>
        <w:rPr>
          <w:rFonts w:ascii="Calibri" w:eastAsia="Calibri" w:hAnsi="Calibri" w:cs="Calibri"/>
          <w:spacing w:val="4"/>
          <w:sz w:val="19"/>
          <w:szCs w:val="19"/>
        </w:rPr>
        <w:t>15</w:t>
      </w:r>
      <w:r>
        <w:rPr>
          <w:rFonts w:ascii="Calibri" w:eastAsia="Calibri" w:hAnsi="Calibri" w:cs="Calibri"/>
          <w:spacing w:val="3"/>
          <w:sz w:val="19"/>
          <w:szCs w:val="19"/>
        </w:rPr>
        <w:t>/</w:t>
      </w:r>
      <w:r>
        <w:rPr>
          <w:rFonts w:ascii="Calibri" w:eastAsia="Calibri" w:hAnsi="Calibri" w:cs="Calibri"/>
          <w:spacing w:val="4"/>
          <w:sz w:val="19"/>
          <w:szCs w:val="19"/>
        </w:rPr>
        <w:t>1</w:t>
      </w:r>
      <w:r>
        <w:rPr>
          <w:rFonts w:ascii="Calibri" w:eastAsia="Calibri" w:hAnsi="Calibri" w:cs="Calibri"/>
          <w:sz w:val="19"/>
          <w:szCs w:val="19"/>
        </w:rPr>
        <w:t>6</w:t>
      </w:r>
      <w:r>
        <w:rPr>
          <w:rFonts w:ascii="Calibri" w:eastAsia="Calibri" w:hAnsi="Calibri" w:cs="Calibri"/>
          <w:spacing w:val="-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4"/>
          <w:sz w:val="19"/>
          <w:szCs w:val="19"/>
        </w:rPr>
        <w:t>Rev</w:t>
      </w: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w w:val="101"/>
          <w:sz w:val="19"/>
          <w:szCs w:val="19"/>
        </w:rPr>
        <w:t>1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/</w:t>
      </w:r>
      <w:r>
        <w:rPr>
          <w:rFonts w:ascii="Calibri" w:eastAsia="Calibri" w:hAnsi="Calibri" w:cs="Calibri"/>
          <w:spacing w:val="4"/>
          <w:w w:val="101"/>
          <w:sz w:val="19"/>
          <w:szCs w:val="19"/>
        </w:rPr>
        <w:t>26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/</w:t>
      </w:r>
      <w:r>
        <w:rPr>
          <w:rFonts w:ascii="Calibri" w:eastAsia="Calibri" w:hAnsi="Calibri" w:cs="Calibri"/>
          <w:spacing w:val="4"/>
          <w:w w:val="101"/>
          <w:sz w:val="19"/>
          <w:szCs w:val="19"/>
        </w:rPr>
        <w:t>1</w:t>
      </w:r>
      <w:r>
        <w:rPr>
          <w:rFonts w:ascii="Calibri" w:eastAsia="Calibri" w:hAnsi="Calibri" w:cs="Calibri"/>
          <w:w w:val="101"/>
          <w:sz w:val="19"/>
          <w:szCs w:val="19"/>
        </w:rPr>
        <w:t>6</w:t>
      </w:r>
    </w:p>
    <w:sectPr w:rsidR="00346D4F">
      <w:type w:val="continuous"/>
      <w:pgSz w:w="12240" w:h="15840"/>
      <w:pgMar w:top="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4F"/>
    <w:rsid w:val="00265736"/>
    <w:rsid w:val="002B71D2"/>
    <w:rsid w:val="00346D4F"/>
    <w:rsid w:val="003C0B5E"/>
    <w:rsid w:val="0064676F"/>
    <w:rsid w:val="008672B6"/>
    <w:rsid w:val="00A207EE"/>
    <w:rsid w:val="00AA22E1"/>
    <w:rsid w:val="00D63767"/>
    <w:rsid w:val="00F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76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07E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07E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rs.gov/Charities-%26-Non-Profits/Types-of-Tax-Exempt-Organizations-)%3B" TargetMode="External"/><Relationship Id="rId7" Type="http://schemas.openxmlformats.org/officeDocument/2006/relationships/hyperlink" Target="http://www.amhca.org/?page=codeofethics)%3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Hope4Me LLC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ellsworth williams</dc:creator>
  <cp:lastModifiedBy>Misty Fenton</cp:lastModifiedBy>
  <cp:revision>2</cp:revision>
  <dcterms:created xsi:type="dcterms:W3CDTF">2016-03-07T00:38:00Z</dcterms:created>
  <dcterms:modified xsi:type="dcterms:W3CDTF">2016-03-07T00:38:00Z</dcterms:modified>
</cp:coreProperties>
</file>